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0" w:after="140" w:line="264" w:lineRule="auto"/>
      </w:pPr>
      <w:r>
        <w:rPr>
          <w:rFonts w:ascii="Calibri" w:hAnsi="Calibri"/>
          <w:b/>
          <w:i w:val="0"/>
          <w:color w:val="F26F5E"/>
          <w:sz w:val="18"/>
        </w:rPr>
        <w:t>SURVEY DOCUMENTATION</w:t>
      </w:r>
    </w:p>
    <w:p>
      <w:pPr>
        <w:keepNext/>
        <w:spacing w:before="0" w:after="60" w:line="264" w:lineRule="auto"/>
      </w:pPr>
      <w:r>
        <w:rPr>
          <w:rFonts w:ascii="Calibri" w:hAnsi="Calibri"/>
          <w:b/>
          <w:i w:val="0"/>
          <w:color w:val="0B0D10"/>
          <w:sz w:val="50"/>
        </w:rPr>
        <w:t>Survey Methodology</w:t>
      </w:r>
    </w:p>
    <w:p>
      <w:pPr>
        <w:spacing w:before="0" w:after="300" w:line="264" w:lineRule="auto"/>
      </w:pPr>
      <w:r>
        <w:rPr>
          <w:rFonts w:ascii="Calibri" w:hAnsi="Calibri"/>
          <w:b w:val="0"/>
          <w:i w:val="0"/>
          <w:color w:val="5E6470"/>
          <w:sz w:val="26"/>
        </w:rPr>
        <w:t>Georgia Statewide Poll  /  June 2026</w:t>
      </w:r>
    </w:p>
    <w:p>
      <w:pPr>
        <w:spacing w:before="0" w:after="200" w:line="264" w:lineRule="auto"/>
      </w:pPr>
      <w:r>
        <w:rPr>
          <w:rFonts w:ascii="Calibri" w:hAnsi="Calibri"/>
          <w:b w:val="0"/>
          <w:i w:val="0"/>
          <w:color w:val="0B0D10"/>
          <w:sz w:val="22"/>
        </w:rPr>
        <w:t>Wick Research conducted an online survey of likely Georgia voters to measure the political environment ahead of the 2026 general election. This document summarizes the fieldwork, sample, weighting, and reporting conventions used in the published report.</w:t>
      </w:r>
    </w:p>
    <w:p>
      <w:pPr>
        <w:pStyle w:val="Heading1"/>
        <w:keepNext/>
      </w:pPr>
      <w:r>
        <w:t>Methodology at a glance</w:t>
      </w:r>
    </w:p>
    <w:tbl>
      <w:tblPr>
        <w:tblW w:type="auto" w:w="0"/>
        <w:jc w:val="left"/>
        <w:tblLayout w:type="fixed"/>
        <w:tblLook w:firstColumn="1" w:firstRow="1" w:lastColumn="0" w:lastRow="0" w:noHBand="0" w:noVBand="1" w:val="04A0"/>
        <w:tblBorders>
          <w:top w:val="single" w:sz="4" w:space="0" w:color="DDD3C4"/>
          <w:left w:val="single" w:sz="4" w:space="0" w:color="DDD3C4"/>
          <w:bottom w:val="single" w:sz="4" w:space="0" w:color="DDD3C4"/>
          <w:right w:val="single" w:sz="4" w:space="0" w:color="DDD3C4"/>
          <w:insideH w:val="single" w:sz="4" w:space="0" w:color="DDD3C4"/>
          <w:insideV w:val="single" w:sz="4" w:space="0" w:color="DDD3C4"/>
        </w:tblBorders>
      </w:tblPr>
      <w:tblGrid>
        <w:gridCol w:w="2376"/>
        <w:gridCol w:w="7128"/>
      </w:tblGrid>
      <w:tr>
        <w:trPr>
          <w:tblHeader w:val="true"/>
        </w:trPr>
        <w:tc>
          <w:tcPr>
            <w:tcW w:type="dxa" w:w="2376"/>
            <w:shd w:fill="F2F6F7"/>
            <w:tcMar>
              <w:top w:w="100" w:type="dxa"/>
              <w:start w:w="140" w:type="dxa"/>
              <w:bottom w:w="100" w:type="dxa"/>
              <w:end w:w="140" w:type="dxa"/>
            </w:tcMar>
            <w:vAlign w:val="center"/>
          </w:tcPr>
          <w:p>
            <w:pPr>
              <w:spacing w:after="0"/>
            </w:pPr>
            <w:r>
              <w:rPr>
                <w:rFonts w:ascii="Calibri" w:hAnsi="Calibri"/>
                <w:b/>
                <w:i w:val="0"/>
                <w:color w:val="0B0D10"/>
                <w:sz w:val="19"/>
              </w:rPr>
              <w:t>Measure</w:t>
            </w:r>
          </w:p>
        </w:tc>
        <w:tc>
          <w:tcPr>
            <w:tcW w:type="dxa" w:w="7128"/>
            <w:shd w:fill="F2F6F7"/>
            <w:tcMar>
              <w:top w:w="100" w:type="dxa"/>
              <w:start w:w="140" w:type="dxa"/>
              <w:bottom w:w="100" w:type="dxa"/>
              <w:end w:w="140" w:type="dxa"/>
            </w:tcMar>
            <w:vAlign w:val="center"/>
          </w:tcPr>
          <w:p>
            <w:pPr>
              <w:spacing w:after="0"/>
            </w:pPr>
            <w:r>
              <w:rPr>
                <w:rFonts w:ascii="Calibri" w:hAnsi="Calibri"/>
                <w:b/>
                <w:i w:val="0"/>
                <w:color w:val="0B0D10"/>
                <w:sz w:val="19"/>
              </w:rPr>
              <w:t>Published specification</w:t>
            </w:r>
          </w:p>
        </w:tc>
      </w:tr>
      <w:tr>
        <w:tc>
          <w:tcPr>
            <w:tcW w:type="dxa" w:w="2376"/>
            <w:tcMar>
              <w:top w:w="100" w:type="dxa"/>
              <w:start w:w="140" w:type="dxa"/>
              <w:bottom w:w="100" w:type="dxa"/>
              <w:end w:w="140" w:type="dxa"/>
            </w:tcMar>
            <w:vAlign w:val="center"/>
          </w:tcPr>
          <w:p>
            <w:pPr>
              <w:spacing w:after="0"/>
            </w:pPr>
            <w:r>
              <w:rPr>
                <w:rFonts w:ascii="Calibri" w:hAnsi="Calibri"/>
                <w:b/>
                <w:i w:val="0"/>
                <w:color w:val="0B0D10"/>
                <w:sz w:val="21"/>
              </w:rPr>
              <w:t>Population</w:t>
            </w:r>
          </w:p>
        </w:tc>
        <w:tc>
          <w:tcPr>
            <w:tcW w:type="dxa" w:w="7128"/>
            <w:tcMar>
              <w:top w:w="100" w:type="dxa"/>
              <w:start w:w="140" w:type="dxa"/>
              <w:bottom w:w="100" w:type="dxa"/>
              <w:end w:w="140" w:type="dxa"/>
            </w:tcMar>
            <w:vAlign w:val="center"/>
          </w:tcPr>
          <w:p>
            <w:pPr>
              <w:spacing w:after="0"/>
            </w:pPr>
            <w:r>
              <w:rPr>
                <w:rFonts w:ascii="Calibri" w:hAnsi="Calibri"/>
                <w:b w:val="0"/>
                <w:i w:val="0"/>
                <w:color w:val="5E6470"/>
                <w:sz w:val="21"/>
              </w:rPr>
              <w:t>Likely Georgia 2026 general-election voters</w:t>
            </w:r>
          </w:p>
        </w:tc>
      </w:tr>
      <w:tr>
        <w:tc>
          <w:tcPr>
            <w:tcW w:type="dxa" w:w="2376"/>
            <w:tcMar>
              <w:top w:w="100" w:type="dxa"/>
              <w:start w:w="140" w:type="dxa"/>
              <w:bottom w:w="100" w:type="dxa"/>
              <w:end w:w="140" w:type="dxa"/>
            </w:tcMar>
            <w:vAlign w:val="center"/>
          </w:tcPr>
          <w:p>
            <w:pPr>
              <w:spacing w:after="0"/>
            </w:pPr>
            <w:r>
              <w:rPr>
                <w:rFonts w:ascii="Calibri" w:hAnsi="Calibri"/>
                <w:b/>
                <w:i w:val="0"/>
                <w:color w:val="0B0D10"/>
                <w:sz w:val="21"/>
              </w:rPr>
              <w:t>Sample size</w:t>
            </w:r>
          </w:p>
        </w:tc>
        <w:tc>
          <w:tcPr>
            <w:tcW w:type="dxa" w:w="7128"/>
            <w:tcMar>
              <w:top w:w="100" w:type="dxa"/>
              <w:start w:w="140" w:type="dxa"/>
              <w:bottom w:w="100" w:type="dxa"/>
              <w:end w:w="140" w:type="dxa"/>
            </w:tcMar>
            <w:vAlign w:val="center"/>
          </w:tcPr>
          <w:p>
            <w:pPr>
              <w:spacing w:after="0"/>
            </w:pPr>
            <w:r>
              <w:rPr>
                <w:rFonts w:ascii="Calibri" w:hAnsi="Calibri"/>
                <w:b w:val="0"/>
                <w:i w:val="0"/>
                <w:color w:val="5E6470"/>
                <w:sz w:val="21"/>
              </w:rPr>
              <w:t>1,175 respondents</w:t>
            </w:r>
          </w:p>
        </w:tc>
      </w:tr>
      <w:tr>
        <w:tc>
          <w:tcPr>
            <w:tcW w:type="dxa" w:w="2376"/>
            <w:tcMar>
              <w:top w:w="100" w:type="dxa"/>
              <w:start w:w="140" w:type="dxa"/>
              <w:bottom w:w="100" w:type="dxa"/>
              <w:end w:w="140" w:type="dxa"/>
            </w:tcMar>
            <w:vAlign w:val="center"/>
          </w:tcPr>
          <w:p>
            <w:pPr>
              <w:spacing w:after="0"/>
            </w:pPr>
            <w:r>
              <w:rPr>
                <w:rFonts w:ascii="Calibri" w:hAnsi="Calibri"/>
                <w:b/>
                <w:i w:val="0"/>
                <w:color w:val="0B0D10"/>
                <w:sz w:val="21"/>
              </w:rPr>
              <w:t>Field dates</w:t>
            </w:r>
          </w:p>
        </w:tc>
        <w:tc>
          <w:tcPr>
            <w:tcW w:type="dxa" w:w="7128"/>
            <w:tcMar>
              <w:top w:w="100" w:type="dxa"/>
              <w:start w:w="140" w:type="dxa"/>
              <w:bottom w:w="100" w:type="dxa"/>
              <w:end w:w="140" w:type="dxa"/>
            </w:tcMar>
            <w:vAlign w:val="center"/>
          </w:tcPr>
          <w:p>
            <w:pPr>
              <w:spacing w:after="0"/>
            </w:pPr>
            <w:r>
              <w:rPr>
                <w:rFonts w:ascii="Calibri" w:hAnsi="Calibri"/>
                <w:b w:val="0"/>
                <w:i w:val="0"/>
                <w:color w:val="5E6470"/>
                <w:sz w:val="21"/>
              </w:rPr>
              <w:t>June 27-30, 2026</w:t>
            </w:r>
          </w:p>
        </w:tc>
      </w:tr>
      <w:tr>
        <w:tc>
          <w:tcPr>
            <w:tcW w:type="dxa" w:w="2376"/>
            <w:tcMar>
              <w:top w:w="100" w:type="dxa"/>
              <w:start w:w="140" w:type="dxa"/>
              <w:bottom w:w="100" w:type="dxa"/>
              <w:end w:w="140" w:type="dxa"/>
            </w:tcMar>
            <w:vAlign w:val="center"/>
          </w:tcPr>
          <w:p>
            <w:pPr>
              <w:spacing w:after="0"/>
            </w:pPr>
            <w:r>
              <w:rPr>
                <w:rFonts w:ascii="Calibri" w:hAnsi="Calibri"/>
                <w:b/>
                <w:i w:val="0"/>
                <w:color w:val="0B0D10"/>
                <w:sz w:val="21"/>
              </w:rPr>
              <w:t>Mode</w:t>
            </w:r>
          </w:p>
        </w:tc>
        <w:tc>
          <w:tcPr>
            <w:tcW w:type="dxa" w:w="7128"/>
            <w:tcMar>
              <w:top w:w="100" w:type="dxa"/>
              <w:start w:w="140" w:type="dxa"/>
              <w:bottom w:w="100" w:type="dxa"/>
              <w:end w:w="140" w:type="dxa"/>
            </w:tcMar>
            <w:vAlign w:val="center"/>
          </w:tcPr>
          <w:p>
            <w:pPr>
              <w:spacing w:after="0"/>
            </w:pPr>
            <w:r>
              <w:rPr>
                <w:rFonts w:ascii="Calibri" w:hAnsi="Calibri"/>
                <w:b w:val="0"/>
                <w:i w:val="0"/>
                <w:color w:val="5E6470"/>
                <w:sz w:val="21"/>
              </w:rPr>
              <w:t>Online survey</w:t>
            </w:r>
          </w:p>
        </w:tc>
      </w:tr>
      <w:tr>
        <w:tc>
          <w:tcPr>
            <w:tcW w:type="dxa" w:w="2376"/>
            <w:tcMar>
              <w:top w:w="100" w:type="dxa"/>
              <w:start w:w="140" w:type="dxa"/>
              <w:bottom w:w="100" w:type="dxa"/>
              <w:end w:w="140" w:type="dxa"/>
            </w:tcMar>
            <w:vAlign w:val="center"/>
          </w:tcPr>
          <w:p>
            <w:pPr>
              <w:spacing w:after="0"/>
            </w:pPr>
            <w:r>
              <w:rPr>
                <w:rFonts w:ascii="Calibri" w:hAnsi="Calibri"/>
                <w:b/>
                <w:i w:val="0"/>
                <w:color w:val="0B0D10"/>
                <w:sz w:val="21"/>
              </w:rPr>
              <w:t>Weighting</w:t>
            </w:r>
          </w:p>
        </w:tc>
        <w:tc>
          <w:tcPr>
            <w:tcW w:type="dxa" w:w="7128"/>
            <w:tcMar>
              <w:top w:w="100" w:type="dxa"/>
              <w:start w:w="140" w:type="dxa"/>
              <w:bottom w:w="100" w:type="dxa"/>
              <w:end w:w="140" w:type="dxa"/>
            </w:tcMar>
            <w:vAlign w:val="center"/>
          </w:tcPr>
          <w:p>
            <w:pPr>
              <w:spacing w:after="0"/>
            </w:pPr>
            <w:r>
              <w:rPr>
                <w:rFonts w:ascii="Calibri" w:hAnsi="Calibri"/>
                <w:b w:val="0"/>
                <w:i w:val="0"/>
                <w:color w:val="5E6470"/>
                <w:sz w:val="21"/>
              </w:rPr>
              <w:t>Results weighted</w:t>
            </w:r>
          </w:p>
        </w:tc>
      </w:tr>
      <w:tr>
        <w:tc>
          <w:tcPr>
            <w:tcW w:type="dxa" w:w="2376"/>
            <w:tcMar>
              <w:top w:w="100" w:type="dxa"/>
              <w:start w:w="140" w:type="dxa"/>
              <w:bottom w:w="100" w:type="dxa"/>
              <w:end w:w="140" w:type="dxa"/>
            </w:tcMar>
            <w:vAlign w:val="center"/>
          </w:tcPr>
          <w:p>
            <w:pPr>
              <w:spacing w:after="0"/>
            </w:pPr>
            <w:r>
              <w:rPr>
                <w:rFonts w:ascii="Calibri" w:hAnsi="Calibri"/>
                <w:b/>
                <w:i w:val="0"/>
                <w:color w:val="0B0D10"/>
                <w:sz w:val="21"/>
              </w:rPr>
              <w:t>Margin of error</w:t>
            </w:r>
          </w:p>
        </w:tc>
        <w:tc>
          <w:tcPr>
            <w:tcW w:type="dxa" w:w="7128"/>
            <w:tcMar>
              <w:top w:w="100" w:type="dxa"/>
              <w:start w:w="140" w:type="dxa"/>
              <w:bottom w:w="100" w:type="dxa"/>
              <w:end w:w="140" w:type="dxa"/>
            </w:tcMar>
            <w:vAlign w:val="center"/>
          </w:tcPr>
          <w:p>
            <w:pPr>
              <w:spacing w:after="0"/>
            </w:pPr>
            <w:r>
              <w:rPr>
                <w:rFonts w:ascii="Calibri" w:hAnsi="Calibri"/>
                <w:b w:val="0"/>
                <w:i w:val="0"/>
                <w:color w:val="5E6470"/>
                <w:sz w:val="21"/>
              </w:rPr>
              <w:t>+/- 2.9 percentage points for the full sample</w:t>
            </w:r>
          </w:p>
        </w:tc>
      </w:tr>
    </w:tbl>
    <w:p>
      <w:pPr>
        <w:pStyle w:val="Heading1"/>
        <w:keepNext/>
      </w:pPr>
      <w:r>
        <w:t>Interpreting the results</w:t>
      </w:r>
    </w:p>
    <w:p>
      <w:pPr>
        <w:pStyle w:val="ListBullet"/>
        <w:spacing w:after="100" w:line="264" w:lineRule="auto"/>
        <w:ind w:left="720" w:hanging="360"/>
      </w:pPr>
      <w:r>
        <w:rPr>
          <w:rFonts w:ascii="Calibri" w:hAnsi="Calibri"/>
          <w:b w:val="0"/>
          <w:i w:val="0"/>
          <w:color w:val="0B0D10"/>
          <w:sz w:val="21"/>
        </w:rPr>
        <w:t>Percentages may not add to 100% because of rounding.</w:t>
      </w:r>
    </w:p>
    <w:p>
      <w:pPr>
        <w:pStyle w:val="ListBullet"/>
        <w:spacing w:after="100" w:line="264" w:lineRule="auto"/>
        <w:ind w:left="720" w:hanging="360"/>
      </w:pPr>
      <w:r>
        <w:rPr>
          <w:rFonts w:ascii="Calibri" w:hAnsi="Calibri"/>
          <w:b w:val="0"/>
          <w:i w:val="0"/>
          <w:color w:val="0B0D10"/>
          <w:sz w:val="21"/>
        </w:rPr>
        <w:t>Subgroup estimates have wider error bands than the full-sample topline and should be interpreted with appropriate caution.</w:t>
      </w:r>
    </w:p>
    <w:p>
      <w:pPr>
        <w:pStyle w:val="ListBullet"/>
        <w:spacing w:after="100" w:line="264" w:lineRule="auto"/>
        <w:ind w:left="720" w:hanging="360"/>
      </w:pPr>
      <w:r>
        <w:rPr>
          <w:rFonts w:ascii="Calibri" w:hAnsi="Calibri"/>
          <w:b w:val="0"/>
          <w:i w:val="0"/>
          <w:color w:val="0B0D10"/>
          <w:sz w:val="21"/>
        </w:rPr>
        <w:t>The published margin of error applies to the full sample. Sampling error is only one source of possible survey error.</w:t>
      </w:r>
    </w:p>
    <w:p>
      <w:pPr>
        <w:pStyle w:val="ListBullet"/>
        <w:spacing w:after="100" w:line="264" w:lineRule="auto"/>
        <w:ind w:left="720" w:hanging="360"/>
      </w:pPr>
      <w:r>
        <w:rPr>
          <w:rFonts w:ascii="Calibri" w:hAnsi="Calibri"/>
          <w:b w:val="0"/>
          <w:i w:val="0"/>
          <w:color w:val="0B0D10"/>
          <w:sz w:val="21"/>
        </w:rPr>
        <w:t>Exact question wording and response options are provided in the separate questionnaire document.</w:t>
      </w:r>
    </w:p>
    <w:p>
      <w:pPr>
        <w:spacing w:before="160" w:after="0" w:line="264" w:lineRule="auto"/>
      </w:pPr>
      <w:r>
        <w:rPr>
          <w:rFonts w:ascii="Calibri" w:hAnsi="Calibri"/>
          <w:b w:val="0"/>
          <w:i/>
          <w:color w:val="5E6470"/>
          <w:sz w:val="17"/>
        </w:rPr>
        <w:t>Source: Wick Research, GA Statewide Poll. Fielded June 27-30, 2026 among 1,175 likely Georgia voters.</w:t>
      </w:r>
    </w:p>
    <w:sectPr w:rsidR="00FC693F" w:rsidRPr="0006063C" w:rsidSect="00034616">
      <w:headerReference w:type="default" r:id="rId9"/>
      <w:footerReference w:type="default" r:id="rId10"/>
      <w:pgSz w:w="12240" w:h="15840"/>
      <w:pgMar w:top="1037" w:right="1238" w:bottom="979" w:left="12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b w:val="0"/>
        <w:i w:val="0"/>
        <w:color w:val="5E6470"/>
        <w:sz w:val="16"/>
      </w:rPr>
      <w:t>Wick Research  /  July 2026  /  wick.io</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60"/>
      <w:pBdr>
        <w:bottom w:val="single" w:sz="4" w:space="6" w:color="DDD3C4"/>
      </w:pBdr>
    </w:pPr>
    <w:r>
      <w:rPr>
        <w:rFonts w:ascii="Calibri" w:hAnsi="Calibri"/>
        <w:b/>
        <w:i w:val="0"/>
        <w:color w:val="2F716A"/>
        <w:sz w:val="17"/>
      </w:rPr>
      <w:t>WICK RESEARCH</w:t>
    </w:r>
    <w:r>
      <w:rPr>
        <w:rFonts w:ascii="Calibri" w:hAnsi="Calibri"/>
        <w:b/>
        <w:i w:val="0"/>
        <w:color w:val="5E6470"/>
        <w:sz w:val="17"/>
      </w:rPr>
      <w:t xml:space="preserve">   /   GEORGIA STATEWIDE POLL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40"/>
      <w:outlineLvl w:val="0"/>
    </w:pPr>
    <w:rPr>
      <w:rFonts w:asciiTheme="majorHAnsi" w:eastAsiaTheme="majorEastAsia" w:hAnsiTheme="majorHAnsi" w:cstheme="majorBidi" w:ascii="Calibri" w:hAnsi="Calibri"/>
      <w:b/>
      <w:bCs/>
      <w:color w:val="2F716A"/>
      <w:sz w:val="32"/>
      <w:szCs w:val="28"/>
    </w:rPr>
  </w:style>
  <w:style w:type="paragraph" w:styleId="Heading2">
    <w:name w:val="heading 2"/>
    <w:basedOn w:val="Normal"/>
    <w:next w:val="Normal"/>
    <w:link w:val="Heading2Char"/>
    <w:uiPriority w:val="9"/>
    <w:unhideWhenUsed/>
    <w:qFormat/>
    <w:rsid w:val="00FC693F"/>
    <w:pPr>
      <w:keepNext/>
      <w:keepLines/>
      <w:spacing w:before="220" w:after="100"/>
      <w:outlineLvl w:val="1"/>
    </w:pPr>
    <w:rPr>
      <w:rFonts w:asciiTheme="majorHAnsi" w:eastAsiaTheme="majorEastAsia" w:hAnsiTheme="majorHAnsi" w:cstheme="majorBidi" w:ascii="Calibri" w:hAnsi="Calibri"/>
      <w:b/>
      <w:bCs/>
      <w:color w:val="6F8794"/>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6F8794"/>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Statewide Poll - Survey Methodology</dc:title>
  <dc:subject>Methodology for the June 2026 Georgia Statewide Poll</dc:subject>
  <dc:creator>Wick Research</dc:creator>
  <cp:keywords>Georgia, poll, survey, methodology, Wick Research</cp:keywords>
  <dc:description>Published survey methodology.</dc:description>
  <cp:lastModifiedBy/>
  <cp:revision>1</cp:revision>
  <dcterms:created xsi:type="dcterms:W3CDTF">2013-12-23T23:15:00Z</dcterms:created>
  <dcterms:modified xsi:type="dcterms:W3CDTF">2013-12-23T23:15:00Z</dcterms:modified>
  <cp:category/>
</cp:coreProperties>
</file>